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4-20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ersonaldienstleistungen im Rahmen des Startchancen-Programms - Säule III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ersonaldienstleistungen im Rahmen des SCP - Säule 3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